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9" w:rsidRPr="00AC5468" w:rsidRDefault="00C97799" w:rsidP="00AC5468">
      <w:pPr>
        <w:rPr>
          <w:rFonts w:ascii="Times New Roman" w:hAnsi="Times New Roman" w:cs="Times New Roman"/>
          <w:sz w:val="24"/>
          <w:szCs w:val="24"/>
        </w:rPr>
      </w:pPr>
    </w:p>
    <w:p w:rsidR="00C97799" w:rsidRDefault="00C97799" w:rsidP="002C556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C97799" w:rsidRDefault="00C97799" w:rsidP="002C556D"/>
    <w:p w:rsidR="00C97799" w:rsidRPr="00AC5468" w:rsidRDefault="00C97799" w:rsidP="002C556D">
      <w:pPr>
        <w:rPr>
          <w:rFonts w:ascii="Times New Roman" w:hAnsi="Times New Roman" w:cs="Times New Roman"/>
          <w:sz w:val="24"/>
          <w:szCs w:val="24"/>
        </w:rPr>
      </w:pPr>
    </w:p>
    <w:p w:rsidR="00C97799" w:rsidRPr="00AC5468" w:rsidRDefault="00C97799" w:rsidP="00B258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C97799" w:rsidRPr="00AC5468" w:rsidRDefault="00C97799" w:rsidP="00B258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C97799" w:rsidRPr="00AC5468" w:rsidRDefault="00C97799" w:rsidP="00B25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C97799" w:rsidRPr="00AC5468" w:rsidRDefault="00C97799" w:rsidP="00B76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97799" w:rsidRPr="00AC5468" w:rsidRDefault="00C97799" w:rsidP="00B7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октября 2013</w:t>
      </w:r>
      <w:r w:rsidRPr="00AC54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542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                                  п.Новонукутский</w:t>
      </w:r>
    </w:p>
    <w:p w:rsidR="00C97799" w:rsidRDefault="00C97799" w:rsidP="00B76897">
      <w:pPr>
        <w:spacing w:after="0" w:line="240" w:lineRule="auto"/>
      </w:pPr>
    </w:p>
    <w:p w:rsidR="00C97799" w:rsidRDefault="00C97799" w:rsidP="00B7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нормативов  финансовых затрат</w:t>
      </w:r>
    </w:p>
    <w:p w:rsidR="00C97799" w:rsidRDefault="00C97799" w:rsidP="00B7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автомобильных дорог общего </w:t>
      </w:r>
    </w:p>
    <w:p w:rsidR="00C97799" w:rsidRDefault="00C97799" w:rsidP="00B7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</w:t>
      </w:r>
    </w:p>
    <w:p w:rsidR="00C97799" w:rsidRDefault="00C97799" w:rsidP="00B7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Нукутский район» </w:t>
      </w:r>
    </w:p>
    <w:p w:rsidR="00C97799" w:rsidRDefault="00C97799" w:rsidP="00B7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правил их расчёта</w:t>
      </w:r>
    </w:p>
    <w:p w:rsidR="00C97799" w:rsidRDefault="00C97799" w:rsidP="00B7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198">
        <w:rPr>
          <w:rFonts w:ascii="Verdana" w:hAnsi="Verdana" w:cs="Verdana"/>
          <w:color w:val="000000"/>
          <w:sz w:val="17"/>
          <w:szCs w:val="17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соответствии с пунктом 5 часть1  статьи 15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Федер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ального закона от 6 октября 2003 года № 131-ФЗ «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Федерации», статьями 13, 34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8 ноября 2007 года № 257-ФЗ «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Федерации»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ст.35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«Нукутский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йон», Администрация</w:t>
      </w:r>
    </w:p>
    <w:p w:rsidR="00C97799" w:rsidRPr="00CA6C31" w:rsidRDefault="00C97799" w:rsidP="00B7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97799" w:rsidRDefault="00C97799" w:rsidP="00B76897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ПОСТАНОВЛЯЕТ:</w:t>
      </w:r>
      <w:r w:rsidRPr="00523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C97799" w:rsidRPr="00CA6C31" w:rsidRDefault="00C97799" w:rsidP="00B76897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. Утвердить:</w:t>
      </w:r>
    </w:p>
    <w:p w:rsidR="00C97799" w:rsidRPr="00CA6C31" w:rsidRDefault="00C97799" w:rsidP="00B7689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нормативы финансовых затрат на содержание автомобильных дорог общего пользования местного значения муниципального образования «Нукутский 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(Приложение №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1);</w:t>
      </w:r>
    </w:p>
    <w:p w:rsidR="00C97799" w:rsidRPr="00CA6C31" w:rsidRDefault="00C97799" w:rsidP="00B7689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правила расчета размера ассигнований бюджета  муниципального образования «Нукутский район»  на содержание автомобильных дорог общего пользования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тного значения (Приложение № 2);</w:t>
      </w:r>
    </w:p>
    <w:p w:rsidR="00C97799" w:rsidRDefault="00C97799" w:rsidP="00B7689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казённому учреждению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Финансовому управл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А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дминистрации  муниципального образования «Нукутский район»  (Иванова Н.А.) при составлении реестра расходных обязательств бюджета муниципального образования «Нукутский район» отражать расходные обязательства на финансирование дорожного хозяйства, исходя из нормативов, утвержденных пунктом 2 настоящего постановления.</w:t>
      </w:r>
    </w:p>
    <w:p w:rsidR="00C97799" w:rsidRPr="00CA6C31" w:rsidRDefault="00C97799" w:rsidP="00B76897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C97799" w:rsidRDefault="00C97799" w:rsidP="00B76897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первого заместителя мэра муниципального  образования «Нукутский район»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Т.Р. Акбашева.</w:t>
      </w:r>
    </w:p>
    <w:p w:rsidR="00C97799" w:rsidRDefault="00C97799" w:rsidP="00B7689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C97799" w:rsidRDefault="00C97799" w:rsidP="00B7689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7799" w:rsidRDefault="00C97799" w:rsidP="00B7689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7799" w:rsidRPr="00523585" w:rsidRDefault="00C97799" w:rsidP="00B7689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3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                                                                                        С.Г.Гомбоев</w:t>
      </w:r>
    </w:p>
    <w:p w:rsidR="00C97799" w:rsidRDefault="00C97799" w:rsidP="00B768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768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768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D73619" w:rsidRDefault="00C97799" w:rsidP="00B768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Pr="00D73619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C9779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к постановлению</w:t>
      </w:r>
      <w:r w:rsidRPr="00D7361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9779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C97799" w:rsidRPr="00D7361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29.10. 2013 г.  </w:t>
      </w:r>
      <w:r w:rsidRPr="00D736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542</w:t>
      </w:r>
    </w:p>
    <w:p w:rsidR="00C97799" w:rsidRPr="00D73619" w:rsidRDefault="00C97799" w:rsidP="00B768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D73619" w:rsidRDefault="00C97799" w:rsidP="00B76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C97799" w:rsidRPr="00D73619" w:rsidRDefault="00C97799" w:rsidP="00B76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финансовых затрат на содержание автомобильных</w:t>
      </w:r>
    </w:p>
    <w:p w:rsidR="00C97799" w:rsidRPr="00D73619" w:rsidRDefault="00C97799" w:rsidP="00B76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дорог общего пользования местного значения</w:t>
      </w:r>
    </w:p>
    <w:p w:rsidR="00C97799" w:rsidRDefault="00C97799" w:rsidP="00B768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«Нукутский район» </w:t>
      </w:r>
    </w:p>
    <w:p w:rsidR="00C97799" w:rsidRPr="00D73619" w:rsidRDefault="00C97799" w:rsidP="00D73619">
      <w:pPr>
        <w:shd w:val="clear" w:color="auto" w:fill="FFFFFF"/>
        <w:spacing w:before="144" w:after="288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1. Нормативы финансовых затрат на зимнее содержание автомобильных дорог (без затрат на содержание мостовых сооружений)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977"/>
        <w:gridCol w:w="3686"/>
      </w:tblGrid>
      <w:tr w:rsidR="00C97799" w:rsidRPr="00105789">
        <w:trPr>
          <w:trHeight w:val="829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категория автомобильных дорог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на 1 км автодорог в ценах 2013 года (тыс.руб.)</w:t>
            </w:r>
          </w:p>
        </w:tc>
      </w:tr>
      <w:tr w:rsidR="00C97799" w:rsidRPr="00105789">
        <w:trPr>
          <w:trHeight w:val="347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</w:tr>
    </w:tbl>
    <w:p w:rsidR="00C97799" w:rsidRPr="00D73619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Примечание: пересчет нормативов производится в случае изменений автодорожной сети в результате капитального ремонта, реконструкции или строительства.</w:t>
      </w:r>
    </w:p>
    <w:p w:rsidR="00C97799" w:rsidRPr="00FF6A1C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2. Нормативы финансовых затрат на летнее содержание автомобильных дорог (без затрат на содержание мостовых сооружений)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977"/>
        <w:gridCol w:w="3686"/>
      </w:tblGrid>
      <w:tr w:rsidR="00C97799" w:rsidRPr="00105789">
        <w:trPr>
          <w:trHeight w:val="829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категория автомобильных дорог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на 1 км автодорог в ценах 2013года (тыс.руб.)</w:t>
            </w:r>
          </w:p>
        </w:tc>
      </w:tr>
      <w:tr w:rsidR="00C97799" w:rsidRPr="00105789">
        <w:trPr>
          <w:trHeight w:val="347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</w:tr>
    </w:tbl>
    <w:p w:rsidR="00C97799" w:rsidRPr="00D73619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Примечание: пересчет нормативов производится в случае изменений автодорожной сети в результате капитального ремонта, реконструкции или строительства.</w:t>
      </w:r>
    </w:p>
    <w:p w:rsidR="00C97799" w:rsidRPr="00FF6A1C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3. Нормативы финансовых затрат на содержание мостовых сооружений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977"/>
        <w:gridCol w:w="3686"/>
      </w:tblGrid>
      <w:tr w:rsidR="00C97799" w:rsidRPr="00105789">
        <w:trPr>
          <w:trHeight w:val="829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мостового сооружения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на 1 п. м мостового сооружения, в ценах 2013 года (тыс.руб.)</w:t>
            </w:r>
          </w:p>
        </w:tc>
      </w:tr>
      <w:tr w:rsidR="00C97799" w:rsidRPr="00105789">
        <w:trPr>
          <w:trHeight w:val="347"/>
        </w:trPr>
        <w:tc>
          <w:tcPr>
            <w:tcW w:w="675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3686" w:type="dxa"/>
          </w:tcPr>
          <w:p w:rsidR="00C97799" w:rsidRPr="00105789" w:rsidRDefault="00C97799" w:rsidP="00105789">
            <w:pPr>
              <w:spacing w:before="144" w:after="288" w:line="300" w:lineRule="atLeast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</w:tbl>
    <w:p w:rsidR="00C97799" w:rsidRPr="00D73619" w:rsidRDefault="00C97799" w:rsidP="009A5BA1">
      <w:pPr>
        <w:shd w:val="clear" w:color="auto" w:fill="FFFFFF"/>
        <w:spacing w:before="144" w:after="288" w:line="300" w:lineRule="atLeast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>Примечание: погонный метр мостового сооружения учитывает его габарит, равный 10 метрам.</w:t>
      </w:r>
    </w:p>
    <w:p w:rsidR="00C97799" w:rsidRDefault="00C97799" w:rsidP="009A5BA1">
      <w:pPr>
        <w:shd w:val="clear" w:color="auto" w:fill="FFFFFF"/>
        <w:spacing w:before="144" w:after="288" w:line="3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D73619" w:rsidRDefault="00C97799" w:rsidP="005235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 2</w:t>
      </w:r>
    </w:p>
    <w:p w:rsidR="00C9779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к постановлению</w:t>
      </w:r>
      <w:r w:rsidRPr="00D7361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9779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C97799" w:rsidRPr="00D73619" w:rsidRDefault="00C97799" w:rsidP="00523585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61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29.10. 2013 г.  </w:t>
      </w:r>
      <w:r w:rsidRPr="00D736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542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9A5BA1" w:rsidRDefault="00C97799" w:rsidP="00523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РАСЧЕТА</w:t>
      </w:r>
    </w:p>
    <w:p w:rsidR="00C97799" w:rsidRPr="009A5BA1" w:rsidRDefault="00C97799" w:rsidP="00523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размера ассигнований бюджета муниципального образования «Нукутский район»</w:t>
      </w:r>
    </w:p>
    <w:p w:rsidR="00C97799" w:rsidRDefault="00C97799" w:rsidP="00523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содержание автомобильных</w:t>
      </w:r>
      <w:r w:rsidRPr="009A5B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5B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дорог общего пользования местного значения</w:t>
      </w:r>
    </w:p>
    <w:p w:rsidR="00C97799" w:rsidRPr="009A5BA1" w:rsidRDefault="00C97799" w:rsidP="00523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1. Нормативы финансовых затрат применяются для определения размера ассигнований из бюджета  муниципального образования «Нукутский район» предусматриваемых на содержание автомобильных дорог местного значения  муниципального образования «Нукутский район» (далее - автомобильные дороги местного значения).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2. Расчет размера ассигнований из бюджета муниципального образования «Нукутский район»  на содержание автомобильных дорог местного значения осуществляется по формуле: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Асод. = Нсод. х К / 100 х L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Асод. - размер ассигнований из бюджета муниципального района на выполнение работ по содержанию автомобильных дорог местного значения каждой категории (тыс. рублей);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Нсод. - норматив финансовых затрат на работы по содержанию автомобильных дорог местного значения каждой категории и (или) мостовых сооружений на них (тыс. рублей/км и (или) тыс. рублей/пог. м);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К - индекс потребительских цен на год планирования (при расчете на период более одного года - произведение индексов на соответствующие годы), разработанный Министерством экономического развития и торговли Российской Федерации для прогноза социально-экономического развития и учитываемый при формировании бюджета муниципального района на соответствующий финансовый год и плановый период (%);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L - протяженность автомобильных дорог местного значения каждой категории и (или) мостовых сооружений на них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 или пог. м).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3. Общая потребность в ассигнованиях из бюджета муниципального района на выполнение работ по содержанию автомобильных дорог местного значения определяется как сумма ассигнований из бюджета муниципального района на выполнение работ по зимнему и летнему содержанию автомобильных дорог местного значения по всем категориям автомобильных дорог местного значения.</w:t>
      </w:r>
    </w:p>
    <w:p w:rsidR="00C97799" w:rsidRPr="009A5BA1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4. Суммарная годовая потребность в ассигнованиях из бюджета муниципального района для выполнения комплекса дорожных работ на автомобильных дорогах местного значения определяется как сумма годовой потребности в финансировании работ по содержанию автомобильных дорог и мостовых сооружений на них по всем категориям автомобильных дорог местного значения.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BA1">
        <w:rPr>
          <w:rFonts w:ascii="Times New Roman" w:hAnsi="Times New Roman" w:cs="Times New Roman"/>
          <w:sz w:val="24"/>
          <w:szCs w:val="24"/>
          <w:lang w:eastAsia="ru-RU"/>
        </w:rPr>
        <w:t>5. Протяженность автомобильных дорог местного значения каждой категории и мостовых сооружений на них принимаются по состоянию на 1 января года, предшествующего планируемому периоду, с учетом планируемого ввода в эксплуатацию автомобильных дорог местного значения по результатам их реконструкции и строительства в течение года, предшествующего планируемому периоду.</w:t>
      </w:r>
    </w:p>
    <w:p w:rsidR="00C97799" w:rsidRDefault="00C97799" w:rsidP="005235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25846">
      <w:pPr>
        <w:shd w:val="clear" w:color="auto" w:fill="FFFFFF"/>
        <w:spacing w:before="144" w:after="288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25846">
      <w:pPr>
        <w:shd w:val="clear" w:color="auto" w:fill="FFFFFF"/>
        <w:spacing w:before="144" w:after="288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25846">
      <w:pPr>
        <w:shd w:val="clear" w:color="auto" w:fill="FFFFFF"/>
        <w:spacing w:before="144" w:after="288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25846">
      <w:pPr>
        <w:shd w:val="clear" w:color="auto" w:fill="FFFFFF"/>
        <w:spacing w:before="144" w:after="288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99" w:rsidRDefault="00C97799" w:rsidP="00B25846">
      <w:pPr>
        <w:shd w:val="clear" w:color="auto" w:fill="FFFFFF"/>
        <w:spacing w:before="144" w:after="288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97799" w:rsidSect="00B2584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6D"/>
    <w:rsid w:val="00014B5C"/>
    <w:rsid w:val="00025590"/>
    <w:rsid w:val="00052364"/>
    <w:rsid w:val="00071231"/>
    <w:rsid w:val="000E2BAE"/>
    <w:rsid w:val="000F49B6"/>
    <w:rsid w:val="00105789"/>
    <w:rsid w:val="00107E6A"/>
    <w:rsid w:val="00185338"/>
    <w:rsid w:val="002728C8"/>
    <w:rsid w:val="002C0188"/>
    <w:rsid w:val="002C556D"/>
    <w:rsid w:val="002D141A"/>
    <w:rsid w:val="002E2699"/>
    <w:rsid w:val="002F7CFF"/>
    <w:rsid w:val="003212DD"/>
    <w:rsid w:val="003243BD"/>
    <w:rsid w:val="003A0702"/>
    <w:rsid w:val="0044465E"/>
    <w:rsid w:val="004D239E"/>
    <w:rsid w:val="00523585"/>
    <w:rsid w:val="005631B6"/>
    <w:rsid w:val="00570C6E"/>
    <w:rsid w:val="005B0C07"/>
    <w:rsid w:val="005E0BCB"/>
    <w:rsid w:val="0069633B"/>
    <w:rsid w:val="006E0FB2"/>
    <w:rsid w:val="007228EB"/>
    <w:rsid w:val="007537F6"/>
    <w:rsid w:val="00783A73"/>
    <w:rsid w:val="00814661"/>
    <w:rsid w:val="00823728"/>
    <w:rsid w:val="008C5028"/>
    <w:rsid w:val="008D1B51"/>
    <w:rsid w:val="00936E27"/>
    <w:rsid w:val="009574CD"/>
    <w:rsid w:val="00980517"/>
    <w:rsid w:val="0099322F"/>
    <w:rsid w:val="009A5BA1"/>
    <w:rsid w:val="009D4F79"/>
    <w:rsid w:val="00A17DD7"/>
    <w:rsid w:val="00A35A25"/>
    <w:rsid w:val="00A94C3A"/>
    <w:rsid w:val="00AC5468"/>
    <w:rsid w:val="00B07572"/>
    <w:rsid w:val="00B25846"/>
    <w:rsid w:val="00B32E9D"/>
    <w:rsid w:val="00B369DE"/>
    <w:rsid w:val="00B416B8"/>
    <w:rsid w:val="00B76897"/>
    <w:rsid w:val="00C4064F"/>
    <w:rsid w:val="00C97799"/>
    <w:rsid w:val="00CA6C31"/>
    <w:rsid w:val="00CC2F1A"/>
    <w:rsid w:val="00CD12A7"/>
    <w:rsid w:val="00D23A6B"/>
    <w:rsid w:val="00D53A6F"/>
    <w:rsid w:val="00D73619"/>
    <w:rsid w:val="00D856DD"/>
    <w:rsid w:val="00E077C2"/>
    <w:rsid w:val="00EB3198"/>
    <w:rsid w:val="00F03E52"/>
    <w:rsid w:val="00F106BA"/>
    <w:rsid w:val="00F20DD2"/>
    <w:rsid w:val="00F96931"/>
    <w:rsid w:val="00FA460A"/>
    <w:rsid w:val="00FD7FE5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56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2C556D"/>
    <w:rPr>
      <w:b/>
      <w:bCs/>
      <w:color w:val="008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CA6C31"/>
    <w:pPr>
      <w:ind w:left="720"/>
    </w:pPr>
  </w:style>
  <w:style w:type="table" w:styleId="TableGrid">
    <w:name w:val="Table Grid"/>
    <w:basedOn w:val="TableNormal"/>
    <w:uiPriority w:val="99"/>
    <w:rsid w:val="00D736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976</Words>
  <Characters>5568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18</cp:revision>
  <cp:lastPrinted>2013-11-11T03:12:00Z</cp:lastPrinted>
  <dcterms:created xsi:type="dcterms:W3CDTF">2013-10-01T08:19:00Z</dcterms:created>
  <dcterms:modified xsi:type="dcterms:W3CDTF">2013-11-11T03:12:00Z</dcterms:modified>
</cp:coreProperties>
</file>